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AF5D7" w14:textId="77777777" w:rsidR="00A167F3" w:rsidRDefault="006F1CAC">
      <w:pPr>
        <w:jc w:val="left"/>
        <w:rPr>
          <w:rFonts w:ascii="仿宋" w:eastAsia="仿宋" w:hAnsi="仿宋"/>
          <w:sz w:val="32"/>
          <w:szCs w:val="32"/>
        </w:rPr>
      </w:pPr>
      <w:r>
        <w:rPr>
          <w:rFonts w:ascii="仿宋" w:eastAsia="仿宋" w:hAnsi="仿宋" w:hint="eastAsia"/>
          <w:sz w:val="32"/>
          <w:szCs w:val="32"/>
        </w:rPr>
        <w:t>附件二：</w:t>
      </w:r>
    </w:p>
    <w:p w14:paraId="05D6DF85" w14:textId="77777777" w:rsidR="00A167F3" w:rsidRDefault="00A167F3">
      <w:pPr>
        <w:ind w:firstLine="640"/>
        <w:jc w:val="right"/>
        <w:rPr>
          <w:rFonts w:ascii="仿宋" w:eastAsia="仿宋" w:hAnsi="仿宋"/>
          <w:sz w:val="32"/>
          <w:szCs w:val="32"/>
        </w:rPr>
      </w:pPr>
    </w:p>
    <w:p w14:paraId="5458BFF5" w14:textId="77777777" w:rsidR="00A167F3" w:rsidRDefault="006F1CAC">
      <w:pPr>
        <w:jc w:val="center"/>
        <w:rPr>
          <w:rFonts w:ascii="宋体" w:hAnsi="宋体"/>
          <w:sz w:val="44"/>
          <w:szCs w:val="44"/>
        </w:rPr>
      </w:pPr>
      <w:r>
        <w:rPr>
          <w:rFonts w:ascii="宋体" w:hAnsi="宋体" w:hint="eastAsia"/>
          <w:sz w:val="44"/>
          <w:szCs w:val="44"/>
        </w:rPr>
        <w:t>威海市环翠区人民法院</w:t>
      </w:r>
    </w:p>
    <w:p w14:paraId="225CE475" w14:textId="77777777" w:rsidR="00A167F3" w:rsidRDefault="006F1CAC">
      <w:pPr>
        <w:ind w:right="-58"/>
        <w:rPr>
          <w:rFonts w:ascii="宋体" w:hAnsi="宋体"/>
          <w:sz w:val="44"/>
          <w:szCs w:val="44"/>
        </w:rPr>
      </w:pPr>
      <w:r>
        <w:rPr>
          <w:rFonts w:ascii="宋体" w:hAnsi="宋体" w:hint="eastAsia"/>
          <w:sz w:val="44"/>
          <w:szCs w:val="44"/>
        </w:rPr>
        <w:t>网络司法拍卖辅助工作收费管理办法（试行）</w:t>
      </w:r>
    </w:p>
    <w:p w14:paraId="351AC08D" w14:textId="77777777" w:rsidR="00A167F3" w:rsidRDefault="00A167F3">
      <w:pPr>
        <w:ind w:right="-58" w:firstLineChars="50" w:firstLine="160"/>
        <w:rPr>
          <w:rFonts w:ascii="仿宋" w:eastAsia="仿宋" w:hAnsi="仿宋"/>
          <w:sz w:val="32"/>
          <w:szCs w:val="32"/>
        </w:rPr>
      </w:pPr>
    </w:p>
    <w:p w14:paraId="26985699"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为了规范网络司法拍卖收费行为，依据《山东省高级人民法院网络司法拍卖辅助工作管理办法（试行）》等规定，结合我院的实际工作情况，制定本办法。</w:t>
      </w:r>
    </w:p>
    <w:p w14:paraId="03DE62E5"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proofErr w:type="gramStart"/>
      <w:r>
        <w:rPr>
          <w:rFonts w:ascii="仿宋" w:eastAsia="仿宋" w:hAnsi="仿宋" w:hint="eastAsia"/>
          <w:sz w:val="32"/>
          <w:szCs w:val="32"/>
        </w:rPr>
        <w:t>拍辅机构完成网拍</w:t>
      </w:r>
      <w:proofErr w:type="gramEnd"/>
      <w:r>
        <w:rPr>
          <w:rFonts w:ascii="仿宋" w:eastAsia="仿宋" w:hAnsi="仿宋" w:hint="eastAsia"/>
          <w:sz w:val="32"/>
          <w:szCs w:val="32"/>
        </w:rPr>
        <w:t>辅助工作可以在拍卖（变卖）成交后收取服务费用；收费通知随拍卖公告一同发布；服务费由被执行人承担，自拍卖成交款中优先支付。</w:t>
      </w:r>
    </w:p>
    <w:p w14:paraId="579CF88A"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、对于成交标的按照以下标准收费：</w:t>
      </w:r>
    </w:p>
    <w:p w14:paraId="777FA3B5" w14:textId="77777777" w:rsidR="00A167F3" w:rsidRDefault="006F1CAC">
      <w:pPr>
        <w:ind w:firstLineChars="200" w:firstLine="640"/>
        <w:rPr>
          <w:rFonts w:ascii="仿宋" w:eastAsia="仿宋" w:hAnsi="仿宋"/>
          <w:sz w:val="32"/>
          <w:szCs w:val="32"/>
          <w:highlight w:val="yellow"/>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）同一个拍卖标的物只收取一次拍卖服务费（一个拍卖行为包含一拍、二拍和变卖，任</w:t>
      </w:r>
      <w:proofErr w:type="gramStart"/>
      <w:r>
        <w:rPr>
          <w:rFonts w:ascii="仿宋" w:eastAsia="仿宋" w:hAnsi="仿宋" w:hint="eastAsia"/>
          <w:sz w:val="32"/>
          <w:szCs w:val="32"/>
        </w:rPr>
        <w:t>一</w:t>
      </w:r>
      <w:proofErr w:type="gramEnd"/>
      <w:r>
        <w:rPr>
          <w:rFonts w:ascii="仿宋" w:eastAsia="仿宋" w:hAnsi="仿宋" w:hint="eastAsia"/>
          <w:sz w:val="32"/>
          <w:szCs w:val="32"/>
        </w:rPr>
        <w:t>程序成交只收取一次费用）；</w:t>
      </w:r>
    </w:p>
    <w:p w14:paraId="7F702B36"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）拍卖不动产按照每个拍卖标的物成交价总价的</w:t>
      </w:r>
      <w:r>
        <w:rPr>
          <w:rFonts w:ascii="仿宋" w:eastAsia="仿宋" w:hAnsi="仿宋" w:hint="eastAsia"/>
          <w:sz w:val="32"/>
          <w:szCs w:val="32"/>
        </w:rPr>
        <w:t xml:space="preserve"> 4</w:t>
      </w:r>
      <w:r>
        <w:rPr>
          <w:rFonts w:ascii="仿宋" w:eastAsia="仿宋" w:hAnsi="仿宋" w:hint="eastAsia"/>
          <w:sz w:val="32"/>
          <w:szCs w:val="32"/>
        </w:rPr>
        <w:t>‰收费，成交价格超过</w:t>
      </w:r>
      <w:r>
        <w:rPr>
          <w:rFonts w:ascii="仿宋" w:eastAsia="仿宋" w:hAnsi="仿宋" w:hint="eastAsia"/>
          <w:sz w:val="32"/>
          <w:szCs w:val="32"/>
        </w:rPr>
        <w:t xml:space="preserve"> 200 </w:t>
      </w:r>
      <w:r>
        <w:rPr>
          <w:rFonts w:ascii="仿宋" w:eastAsia="仿宋" w:hAnsi="仿宋" w:hint="eastAsia"/>
          <w:sz w:val="32"/>
          <w:szCs w:val="32"/>
        </w:rPr>
        <w:t>万元的部分，按照</w:t>
      </w:r>
      <w:r>
        <w:rPr>
          <w:rFonts w:ascii="仿宋" w:eastAsia="仿宋" w:hAnsi="仿宋" w:hint="eastAsia"/>
          <w:sz w:val="32"/>
          <w:szCs w:val="32"/>
        </w:rPr>
        <w:t xml:space="preserve"> 1</w:t>
      </w:r>
      <w:r>
        <w:rPr>
          <w:rFonts w:ascii="仿宋" w:eastAsia="仿宋" w:hAnsi="仿宋" w:hint="eastAsia"/>
          <w:sz w:val="32"/>
          <w:szCs w:val="32"/>
        </w:rPr>
        <w:t>‰收费；单一拍卖标的在本市辖区收费总额不超过</w:t>
      </w:r>
      <w:r>
        <w:rPr>
          <w:rFonts w:ascii="仿宋" w:eastAsia="仿宋" w:hAnsi="仿宋" w:hint="eastAsia"/>
          <w:sz w:val="32"/>
          <w:szCs w:val="32"/>
        </w:rPr>
        <w:t xml:space="preserve"> 4 </w:t>
      </w:r>
      <w:r>
        <w:rPr>
          <w:rFonts w:ascii="仿宋" w:eastAsia="仿宋" w:hAnsi="仿宋" w:hint="eastAsia"/>
          <w:sz w:val="32"/>
          <w:szCs w:val="32"/>
        </w:rPr>
        <w:t>万元、本省辖区不高于</w:t>
      </w:r>
      <w:r>
        <w:rPr>
          <w:rFonts w:ascii="仿宋" w:eastAsia="仿宋" w:hAnsi="仿宋" w:hint="eastAsia"/>
          <w:sz w:val="32"/>
          <w:szCs w:val="32"/>
        </w:rPr>
        <w:t xml:space="preserve"> 5 </w:t>
      </w:r>
      <w:r>
        <w:rPr>
          <w:rFonts w:ascii="仿宋" w:eastAsia="仿宋" w:hAnsi="仿宋" w:hint="eastAsia"/>
          <w:sz w:val="32"/>
          <w:szCs w:val="32"/>
        </w:rPr>
        <w:t>万元、外省辖区不高于</w:t>
      </w:r>
      <w:r>
        <w:rPr>
          <w:rFonts w:ascii="仿宋" w:eastAsia="仿宋" w:hAnsi="仿宋" w:hint="eastAsia"/>
          <w:sz w:val="32"/>
          <w:szCs w:val="32"/>
        </w:rPr>
        <w:t xml:space="preserve"> 6 </w:t>
      </w:r>
      <w:r>
        <w:rPr>
          <w:rFonts w:ascii="仿宋" w:eastAsia="仿宋" w:hAnsi="仿宋" w:hint="eastAsia"/>
          <w:sz w:val="32"/>
          <w:szCs w:val="32"/>
        </w:rPr>
        <w:t>万元；</w:t>
      </w:r>
    </w:p>
    <w:p w14:paraId="25FF791C"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）拍卖动产（机动车除外）按照每个拍卖标的物成交价的</w:t>
      </w:r>
      <w:r>
        <w:rPr>
          <w:rFonts w:ascii="仿宋" w:eastAsia="仿宋" w:hAnsi="仿宋" w:hint="eastAsia"/>
          <w:sz w:val="32"/>
          <w:szCs w:val="32"/>
        </w:rPr>
        <w:t>2%</w:t>
      </w:r>
      <w:r>
        <w:rPr>
          <w:rFonts w:ascii="仿宋" w:eastAsia="仿宋" w:hAnsi="仿宋" w:hint="eastAsia"/>
          <w:sz w:val="32"/>
          <w:szCs w:val="32"/>
        </w:rPr>
        <w:t>收费，成交价格超过</w:t>
      </w:r>
      <w:r>
        <w:rPr>
          <w:rFonts w:ascii="仿宋" w:eastAsia="仿宋" w:hAnsi="仿宋" w:hint="eastAsia"/>
          <w:sz w:val="32"/>
          <w:szCs w:val="32"/>
        </w:rPr>
        <w:t xml:space="preserve"> 5 </w:t>
      </w:r>
      <w:r>
        <w:rPr>
          <w:rFonts w:ascii="仿宋" w:eastAsia="仿宋" w:hAnsi="仿宋" w:hint="eastAsia"/>
          <w:sz w:val="32"/>
          <w:szCs w:val="32"/>
        </w:rPr>
        <w:t>万元的部分，按照</w:t>
      </w:r>
      <w:r>
        <w:rPr>
          <w:rFonts w:ascii="仿宋" w:eastAsia="仿宋" w:hAnsi="仿宋" w:hint="eastAsia"/>
          <w:sz w:val="32"/>
          <w:szCs w:val="32"/>
        </w:rPr>
        <w:t xml:space="preserve"> 1%</w:t>
      </w:r>
      <w:r>
        <w:rPr>
          <w:rFonts w:ascii="仿宋" w:eastAsia="仿宋" w:hAnsi="仿宋" w:hint="eastAsia"/>
          <w:sz w:val="32"/>
          <w:szCs w:val="32"/>
        </w:rPr>
        <w:t>收费；拍卖标的在本省辖区收费总额不高于</w:t>
      </w:r>
      <w:r>
        <w:rPr>
          <w:rFonts w:ascii="仿宋" w:eastAsia="仿宋" w:hAnsi="仿宋" w:hint="eastAsia"/>
          <w:sz w:val="32"/>
          <w:szCs w:val="32"/>
        </w:rPr>
        <w:t xml:space="preserve"> 2 </w:t>
      </w:r>
      <w:r>
        <w:rPr>
          <w:rFonts w:ascii="仿宋" w:eastAsia="仿宋" w:hAnsi="仿宋" w:hint="eastAsia"/>
          <w:sz w:val="32"/>
          <w:szCs w:val="32"/>
        </w:rPr>
        <w:t>万元、外省辖区不高于</w:t>
      </w:r>
      <w:r>
        <w:rPr>
          <w:rFonts w:ascii="仿宋" w:eastAsia="仿宋" w:hAnsi="仿宋" w:hint="eastAsia"/>
          <w:sz w:val="32"/>
          <w:szCs w:val="32"/>
        </w:rPr>
        <w:t xml:space="preserve"> 3 </w:t>
      </w:r>
      <w:r>
        <w:rPr>
          <w:rFonts w:ascii="仿宋" w:eastAsia="仿宋" w:hAnsi="仿宋" w:hint="eastAsia"/>
          <w:sz w:val="32"/>
          <w:szCs w:val="32"/>
        </w:rPr>
        <w:t>万元；</w:t>
      </w:r>
    </w:p>
    <w:p w14:paraId="4A34DE94"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4</w:t>
      </w:r>
      <w:r>
        <w:rPr>
          <w:rFonts w:ascii="仿宋" w:eastAsia="仿宋" w:hAnsi="仿宋" w:hint="eastAsia"/>
          <w:sz w:val="32"/>
          <w:szCs w:val="32"/>
        </w:rPr>
        <w:t>）拍卖机动车按照每个拍卖标的</w:t>
      </w:r>
      <w:r>
        <w:rPr>
          <w:rFonts w:ascii="仿宋" w:eastAsia="仿宋" w:hAnsi="仿宋" w:hint="eastAsia"/>
          <w:sz w:val="32"/>
          <w:szCs w:val="32"/>
        </w:rPr>
        <w:t xml:space="preserve">1000 </w:t>
      </w:r>
      <w:r>
        <w:rPr>
          <w:rFonts w:ascii="仿宋" w:eastAsia="仿宋" w:hAnsi="仿宋" w:hint="eastAsia"/>
          <w:sz w:val="32"/>
          <w:szCs w:val="32"/>
        </w:rPr>
        <w:t>元收费；</w:t>
      </w:r>
    </w:p>
    <w:p w14:paraId="70FB855D"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）其他财产参照动产确定辅助机构服务费用；</w:t>
      </w:r>
    </w:p>
    <w:p w14:paraId="1E8462F8"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）拍卖财产情况复杂</w:t>
      </w:r>
      <w:r>
        <w:rPr>
          <w:rFonts w:ascii="仿宋" w:eastAsia="仿宋" w:hAnsi="仿宋" w:hint="eastAsia"/>
          <w:sz w:val="32"/>
          <w:szCs w:val="32"/>
        </w:rPr>
        <w:t>、数量较多且未被拆分的，参考标的物的种类、数量、辅助工作复杂程度、拍卖或者变卖成交价款情况综合确定，单</w:t>
      </w:r>
      <w:proofErr w:type="gramStart"/>
      <w:r>
        <w:rPr>
          <w:rFonts w:ascii="仿宋" w:eastAsia="仿宋" w:hAnsi="仿宋" w:hint="eastAsia"/>
          <w:sz w:val="32"/>
          <w:szCs w:val="32"/>
        </w:rPr>
        <w:t>宗执行案件网拍</w:t>
      </w:r>
      <w:proofErr w:type="gramEnd"/>
      <w:r>
        <w:rPr>
          <w:rFonts w:ascii="仿宋" w:eastAsia="仿宋" w:hAnsi="仿宋" w:hint="eastAsia"/>
          <w:sz w:val="32"/>
          <w:szCs w:val="32"/>
        </w:rPr>
        <w:t>辅助费用总金额不得超过</w:t>
      </w:r>
      <w:r>
        <w:rPr>
          <w:rFonts w:ascii="仿宋" w:eastAsia="仿宋" w:hAnsi="仿宋" w:hint="eastAsia"/>
          <w:sz w:val="32"/>
          <w:szCs w:val="32"/>
        </w:rPr>
        <w:t xml:space="preserve"> 20 </w:t>
      </w:r>
      <w:r>
        <w:rPr>
          <w:rFonts w:ascii="仿宋" w:eastAsia="仿宋" w:hAnsi="仿宋" w:hint="eastAsia"/>
          <w:sz w:val="32"/>
          <w:szCs w:val="32"/>
        </w:rPr>
        <w:t>万元；</w:t>
      </w:r>
    </w:p>
    <w:p w14:paraId="33006459"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）申请执行人在标的物流拍后接受以物抵债的或因申请人原因撤回拍卖的，应由申请执行人承担基本拍卖费用（按照成交收费减半收取，产生实际支出费用的另计）。</w:t>
      </w:r>
    </w:p>
    <w:p w14:paraId="074BE0A6" w14:textId="77777777" w:rsidR="00A167F3" w:rsidRDefault="006F1CAC">
      <w:pPr>
        <w:ind w:firstLineChars="200" w:firstLine="640"/>
        <w:rPr>
          <w:rFonts w:ascii="仿宋" w:eastAsia="仿宋" w:hAnsi="仿宋"/>
          <w:sz w:val="32"/>
          <w:szCs w:val="32"/>
        </w:rPr>
      </w:pPr>
      <w:bookmarkStart w:id="0" w:name="_GoBack"/>
      <w:bookmarkEnd w:id="0"/>
      <w:r>
        <w:rPr>
          <w:rFonts w:ascii="仿宋" w:eastAsia="仿宋" w:hAnsi="仿宋" w:hint="eastAsia"/>
          <w:sz w:val="32"/>
          <w:szCs w:val="32"/>
        </w:rPr>
        <w:t>3</w:t>
      </w:r>
      <w:r>
        <w:rPr>
          <w:rFonts w:ascii="仿宋" w:eastAsia="仿宋" w:hAnsi="仿宋" w:hint="eastAsia"/>
          <w:sz w:val="32"/>
          <w:szCs w:val="32"/>
        </w:rPr>
        <w:t>、具有下列情形之一的，不</w:t>
      </w:r>
      <w:proofErr w:type="gramStart"/>
      <w:r>
        <w:rPr>
          <w:rFonts w:ascii="仿宋" w:eastAsia="仿宋" w:hAnsi="仿宋" w:hint="eastAsia"/>
          <w:sz w:val="32"/>
          <w:szCs w:val="32"/>
        </w:rPr>
        <w:t>支付网拍</w:t>
      </w:r>
      <w:proofErr w:type="gramEnd"/>
      <w:r>
        <w:rPr>
          <w:rFonts w:ascii="仿宋" w:eastAsia="仿宋" w:hAnsi="仿宋" w:hint="eastAsia"/>
          <w:sz w:val="32"/>
          <w:szCs w:val="32"/>
        </w:rPr>
        <w:t>辅助费用：</w:t>
      </w:r>
    </w:p>
    <w:p w14:paraId="6FCDDF9F"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）非由申请执行</w:t>
      </w:r>
      <w:proofErr w:type="gramStart"/>
      <w:r>
        <w:rPr>
          <w:rFonts w:ascii="仿宋" w:eastAsia="仿宋" w:hAnsi="仿宋" w:hint="eastAsia"/>
          <w:sz w:val="32"/>
          <w:szCs w:val="32"/>
        </w:rPr>
        <w:t>人原因</w:t>
      </w:r>
      <w:proofErr w:type="gramEnd"/>
      <w:r>
        <w:rPr>
          <w:rFonts w:ascii="仿宋" w:eastAsia="仿宋" w:hAnsi="仿宋" w:hint="eastAsia"/>
          <w:sz w:val="32"/>
          <w:szCs w:val="32"/>
        </w:rPr>
        <w:t>撤回的拍卖或变卖；</w:t>
      </w:r>
    </w:p>
    <w:p w14:paraId="12FBA4AB"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）申请执行人或其他权利人拒绝接受财产抵债的；</w:t>
      </w:r>
    </w:p>
    <w:p w14:paraId="38221ED1"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）成交标的小于</w:t>
      </w:r>
      <w:r>
        <w:rPr>
          <w:rFonts w:ascii="仿宋" w:eastAsia="仿宋" w:hAnsi="仿宋" w:hint="eastAsia"/>
          <w:sz w:val="32"/>
          <w:szCs w:val="32"/>
        </w:rPr>
        <w:t>2000</w:t>
      </w:r>
      <w:r>
        <w:rPr>
          <w:rFonts w:ascii="仿宋" w:eastAsia="仿宋" w:hAnsi="仿宋" w:hint="eastAsia"/>
          <w:sz w:val="32"/>
          <w:szCs w:val="32"/>
        </w:rPr>
        <w:t>元人民币的；</w:t>
      </w:r>
    </w:p>
    <w:p w14:paraId="478BF6B5" w14:textId="77777777" w:rsidR="00A167F3" w:rsidRDefault="006F1CAC">
      <w:pPr>
        <w:ind w:firstLineChars="200" w:firstLine="640"/>
        <w:rPr>
          <w:rFonts w:ascii="仿宋" w:eastAsia="仿宋" w:hAnsi="仿宋"/>
          <w:sz w:val="32"/>
          <w:szCs w:val="32"/>
          <w:highlight w:val="yellow"/>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）其他不宜收费的情形。</w:t>
      </w:r>
    </w:p>
    <w:p w14:paraId="0EDD7B69" w14:textId="77777777" w:rsidR="00A167F3" w:rsidRDefault="006F1CAC">
      <w:pPr>
        <w:ind w:firstLineChars="200" w:firstLine="640"/>
        <w:rPr>
          <w:rFonts w:ascii="仿宋" w:eastAsia="仿宋" w:hAnsi="仿宋"/>
          <w:sz w:val="32"/>
          <w:szCs w:val="32"/>
        </w:rPr>
      </w:pPr>
      <w:r>
        <w:rPr>
          <w:rFonts w:ascii="仿宋" w:eastAsia="仿宋" w:hAnsi="仿宋" w:hint="eastAsia"/>
          <w:sz w:val="32"/>
          <w:szCs w:val="32"/>
        </w:rPr>
        <w:t>本办法自公布之日</w:t>
      </w:r>
      <w:r w:rsidRPr="006F1CAC">
        <w:rPr>
          <w:rFonts w:ascii="仿宋" w:eastAsia="仿宋" w:hAnsi="仿宋" w:hint="eastAsia"/>
          <w:sz w:val="32"/>
          <w:szCs w:val="32"/>
        </w:rPr>
        <w:t>起</w:t>
      </w:r>
      <w:r w:rsidRPr="006F1CAC">
        <w:rPr>
          <w:rFonts w:ascii="仿宋" w:eastAsia="仿宋" w:hAnsi="仿宋" w:hint="eastAsia"/>
          <w:sz w:val="32"/>
          <w:szCs w:val="32"/>
        </w:rPr>
        <w:t>施行</w:t>
      </w:r>
      <w:r>
        <w:rPr>
          <w:rFonts w:ascii="仿宋" w:eastAsia="仿宋" w:hAnsi="仿宋" w:hint="eastAsia"/>
          <w:sz w:val="32"/>
          <w:szCs w:val="32"/>
        </w:rPr>
        <w:t>。</w:t>
      </w:r>
    </w:p>
    <w:p w14:paraId="11AC30F5" w14:textId="77777777" w:rsidR="00A167F3" w:rsidRDefault="00A167F3">
      <w:pPr>
        <w:ind w:firstLineChars="200" w:firstLine="640"/>
        <w:rPr>
          <w:rFonts w:ascii="仿宋" w:eastAsia="仿宋" w:hAnsi="仿宋"/>
          <w:sz w:val="32"/>
          <w:szCs w:val="32"/>
        </w:rPr>
      </w:pPr>
    </w:p>
    <w:p w14:paraId="3EB94576" w14:textId="77777777" w:rsidR="00A167F3" w:rsidRDefault="00A167F3">
      <w:pPr>
        <w:ind w:firstLineChars="200" w:firstLine="640"/>
        <w:rPr>
          <w:rFonts w:ascii="仿宋" w:eastAsia="仿宋" w:hAnsi="仿宋"/>
          <w:sz w:val="32"/>
          <w:szCs w:val="32"/>
        </w:rPr>
      </w:pPr>
    </w:p>
    <w:p w14:paraId="20525B91" w14:textId="77777777" w:rsidR="00A167F3" w:rsidRDefault="00A167F3">
      <w:pPr>
        <w:ind w:firstLineChars="200" w:firstLine="640"/>
        <w:rPr>
          <w:rFonts w:ascii="仿宋" w:eastAsia="仿宋" w:hAnsi="仿宋"/>
          <w:sz w:val="32"/>
          <w:szCs w:val="32"/>
        </w:rPr>
      </w:pPr>
    </w:p>
    <w:p w14:paraId="64C56AFC" w14:textId="77777777" w:rsidR="00A167F3" w:rsidRDefault="006F1CAC">
      <w:pPr>
        <w:ind w:firstLineChars="200" w:firstLine="640"/>
        <w:jc w:val="right"/>
        <w:rPr>
          <w:rFonts w:ascii="仿宋" w:eastAsia="仿宋" w:hAnsi="仿宋"/>
          <w:sz w:val="32"/>
          <w:szCs w:val="32"/>
        </w:rPr>
      </w:pPr>
      <w:r>
        <w:rPr>
          <w:rFonts w:ascii="仿宋" w:eastAsia="仿宋" w:hAnsi="仿宋"/>
          <w:sz w:val="32"/>
          <w:szCs w:val="32"/>
        </w:rPr>
        <w:t>2025</w:t>
      </w:r>
      <w:r>
        <w:rPr>
          <w:rFonts w:ascii="仿宋" w:eastAsia="仿宋" w:hAnsi="仿宋"/>
          <w:sz w:val="32"/>
          <w:szCs w:val="32"/>
        </w:rPr>
        <w:t>年</w:t>
      </w:r>
      <w:r>
        <w:rPr>
          <w:rFonts w:ascii="仿宋" w:eastAsia="仿宋" w:hAnsi="仿宋" w:hint="eastAsia"/>
          <w:sz w:val="32"/>
          <w:szCs w:val="32"/>
        </w:rPr>
        <w:t>4</w:t>
      </w:r>
      <w:r>
        <w:rPr>
          <w:rFonts w:ascii="仿宋" w:eastAsia="仿宋" w:hAnsi="仿宋"/>
          <w:sz w:val="32"/>
          <w:szCs w:val="32"/>
        </w:rPr>
        <w:t>月</w:t>
      </w:r>
      <w:r>
        <w:rPr>
          <w:rFonts w:ascii="仿宋" w:eastAsia="仿宋" w:hAnsi="仿宋" w:hint="eastAsia"/>
          <w:sz w:val="32"/>
          <w:szCs w:val="32"/>
        </w:rPr>
        <w:t>2</w:t>
      </w:r>
      <w:r>
        <w:rPr>
          <w:rFonts w:ascii="仿宋" w:eastAsia="仿宋" w:hAnsi="仿宋"/>
          <w:sz w:val="32"/>
          <w:szCs w:val="32"/>
        </w:rPr>
        <w:t>日</w:t>
      </w:r>
    </w:p>
    <w:p w14:paraId="53E76956" w14:textId="77777777" w:rsidR="00A167F3" w:rsidRDefault="00A167F3">
      <w:pPr>
        <w:ind w:firstLine="640"/>
        <w:jc w:val="right"/>
        <w:rPr>
          <w:rFonts w:ascii="仿宋" w:eastAsia="仿宋" w:hAnsi="仿宋"/>
          <w:sz w:val="32"/>
          <w:szCs w:val="32"/>
        </w:rPr>
      </w:pPr>
    </w:p>
    <w:sectPr w:rsidR="00A167F3">
      <w:pgSz w:w="11906" w:h="16838"/>
      <w:pgMar w:top="1440"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DA0ZjAxMDI5OGRjNTQ0YjllM2JjZjZjNzU5OGEifQ=="/>
  </w:docVars>
  <w:rsids>
    <w:rsidRoot w:val="00480995"/>
    <w:rsid w:val="00010A11"/>
    <w:rsid w:val="000163FF"/>
    <w:rsid w:val="00024FFD"/>
    <w:rsid w:val="0002515F"/>
    <w:rsid w:val="000318FD"/>
    <w:rsid w:val="00045FCD"/>
    <w:rsid w:val="000606F0"/>
    <w:rsid w:val="00062E6F"/>
    <w:rsid w:val="00077CB4"/>
    <w:rsid w:val="000A67AA"/>
    <w:rsid w:val="000E4E2D"/>
    <w:rsid w:val="00154F99"/>
    <w:rsid w:val="00156B3E"/>
    <w:rsid w:val="001935D9"/>
    <w:rsid w:val="001B3226"/>
    <w:rsid w:val="001C72FD"/>
    <w:rsid w:val="001D29B0"/>
    <w:rsid w:val="001D5A71"/>
    <w:rsid w:val="001E3B9A"/>
    <w:rsid w:val="001F3BC7"/>
    <w:rsid w:val="00205E54"/>
    <w:rsid w:val="00212AA5"/>
    <w:rsid w:val="00226E7D"/>
    <w:rsid w:val="00252415"/>
    <w:rsid w:val="0027566F"/>
    <w:rsid w:val="002A66E8"/>
    <w:rsid w:val="002F5522"/>
    <w:rsid w:val="00320AF2"/>
    <w:rsid w:val="00336B21"/>
    <w:rsid w:val="00355A82"/>
    <w:rsid w:val="003957C7"/>
    <w:rsid w:val="003A121C"/>
    <w:rsid w:val="003C0F4D"/>
    <w:rsid w:val="003D6E3D"/>
    <w:rsid w:val="003E06AE"/>
    <w:rsid w:val="003F2A05"/>
    <w:rsid w:val="004437DC"/>
    <w:rsid w:val="00443F6E"/>
    <w:rsid w:val="004639A9"/>
    <w:rsid w:val="00473A93"/>
    <w:rsid w:val="00477061"/>
    <w:rsid w:val="0048024C"/>
    <w:rsid w:val="00480995"/>
    <w:rsid w:val="004858EB"/>
    <w:rsid w:val="004B7EE6"/>
    <w:rsid w:val="004D21A8"/>
    <w:rsid w:val="004D2EBD"/>
    <w:rsid w:val="004D43D7"/>
    <w:rsid w:val="004D4440"/>
    <w:rsid w:val="004D70B0"/>
    <w:rsid w:val="004E1662"/>
    <w:rsid w:val="005165F6"/>
    <w:rsid w:val="00541FC2"/>
    <w:rsid w:val="005571EF"/>
    <w:rsid w:val="00586DBC"/>
    <w:rsid w:val="005B0EE6"/>
    <w:rsid w:val="005B6FA5"/>
    <w:rsid w:val="005D32F2"/>
    <w:rsid w:val="005E28D3"/>
    <w:rsid w:val="005F02BC"/>
    <w:rsid w:val="00603D91"/>
    <w:rsid w:val="0061322C"/>
    <w:rsid w:val="006156BA"/>
    <w:rsid w:val="006226F6"/>
    <w:rsid w:val="00622886"/>
    <w:rsid w:val="006237AA"/>
    <w:rsid w:val="006722C8"/>
    <w:rsid w:val="00695D8F"/>
    <w:rsid w:val="006D1CCF"/>
    <w:rsid w:val="006F1CAC"/>
    <w:rsid w:val="00720E03"/>
    <w:rsid w:val="00725104"/>
    <w:rsid w:val="00742BDE"/>
    <w:rsid w:val="007610AC"/>
    <w:rsid w:val="00772A7F"/>
    <w:rsid w:val="007A5C8F"/>
    <w:rsid w:val="007B3A84"/>
    <w:rsid w:val="00813BCC"/>
    <w:rsid w:val="00862C18"/>
    <w:rsid w:val="008A1985"/>
    <w:rsid w:val="008B0AB9"/>
    <w:rsid w:val="008B3790"/>
    <w:rsid w:val="008C635D"/>
    <w:rsid w:val="008C694B"/>
    <w:rsid w:val="008F0807"/>
    <w:rsid w:val="00911C89"/>
    <w:rsid w:val="0093156C"/>
    <w:rsid w:val="00933B1C"/>
    <w:rsid w:val="00944A41"/>
    <w:rsid w:val="009612C1"/>
    <w:rsid w:val="009B2D46"/>
    <w:rsid w:val="009B5FF8"/>
    <w:rsid w:val="009C06D8"/>
    <w:rsid w:val="009E48DB"/>
    <w:rsid w:val="00A167F3"/>
    <w:rsid w:val="00A36EFB"/>
    <w:rsid w:val="00A75C01"/>
    <w:rsid w:val="00A813E7"/>
    <w:rsid w:val="00A8203D"/>
    <w:rsid w:val="00A8684A"/>
    <w:rsid w:val="00A94387"/>
    <w:rsid w:val="00AF4A5B"/>
    <w:rsid w:val="00B13A5D"/>
    <w:rsid w:val="00B26D8C"/>
    <w:rsid w:val="00B3218A"/>
    <w:rsid w:val="00B51956"/>
    <w:rsid w:val="00B55A62"/>
    <w:rsid w:val="00B70E17"/>
    <w:rsid w:val="00BA3CF9"/>
    <w:rsid w:val="00BB19B6"/>
    <w:rsid w:val="00BC6518"/>
    <w:rsid w:val="00C31CD5"/>
    <w:rsid w:val="00C40E13"/>
    <w:rsid w:val="00C52DB2"/>
    <w:rsid w:val="00C81245"/>
    <w:rsid w:val="00CA7699"/>
    <w:rsid w:val="00CB428C"/>
    <w:rsid w:val="00CD1E56"/>
    <w:rsid w:val="00CD46D4"/>
    <w:rsid w:val="00CE1E06"/>
    <w:rsid w:val="00D377FC"/>
    <w:rsid w:val="00D45406"/>
    <w:rsid w:val="00D578DE"/>
    <w:rsid w:val="00D93777"/>
    <w:rsid w:val="00DA089E"/>
    <w:rsid w:val="00DA5463"/>
    <w:rsid w:val="00DC7439"/>
    <w:rsid w:val="00DD0D27"/>
    <w:rsid w:val="00DE0244"/>
    <w:rsid w:val="00E16689"/>
    <w:rsid w:val="00E21836"/>
    <w:rsid w:val="00E52533"/>
    <w:rsid w:val="00E619DB"/>
    <w:rsid w:val="00E619ED"/>
    <w:rsid w:val="00E64CAA"/>
    <w:rsid w:val="00E87D8F"/>
    <w:rsid w:val="00E93EF1"/>
    <w:rsid w:val="00ED2704"/>
    <w:rsid w:val="00F017EE"/>
    <w:rsid w:val="00F27EEB"/>
    <w:rsid w:val="00F4353C"/>
    <w:rsid w:val="00F60623"/>
    <w:rsid w:val="00F83460"/>
    <w:rsid w:val="00FA1686"/>
    <w:rsid w:val="00FC3A36"/>
    <w:rsid w:val="00FE78B1"/>
    <w:rsid w:val="0E8844AF"/>
    <w:rsid w:val="11BE666D"/>
    <w:rsid w:val="2EEE7E1A"/>
    <w:rsid w:val="35F86C9B"/>
    <w:rsid w:val="3ABD029F"/>
    <w:rsid w:val="524D4211"/>
    <w:rsid w:val="57E57349"/>
    <w:rsid w:val="678F2471"/>
    <w:rsid w:val="7B4B7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styleId="a6">
    <w:name w:val="List Paragraph"/>
    <w:basedOn w:val="a"/>
    <w:autoRedefine/>
    <w:uiPriority w:val="34"/>
    <w:qFormat/>
    <w:pPr>
      <w:ind w:firstLineChars="200" w:firstLine="420"/>
    </w:pPr>
  </w:style>
  <w:style w:type="character" w:customStyle="1" w:styleId="Char">
    <w:name w:val="日期 Char"/>
    <w:basedOn w:val="a0"/>
    <w:link w:val="a3"/>
    <w:autoRedefine/>
    <w:uiPriority w:val="99"/>
    <w:semiHidden/>
    <w:qFormat/>
    <w:rPr>
      <w:kern w:val="2"/>
      <w:sz w:val="21"/>
      <w:szCs w:val="22"/>
    </w:rPr>
  </w:style>
  <w:style w:type="character" w:customStyle="1" w:styleId="Style10">
    <w:name w:val="_Style 10"/>
    <w:basedOn w:val="a0"/>
    <w:autoRedefine/>
    <w:uiPriority w:val="32"/>
    <w:qFormat/>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styleId="a6">
    <w:name w:val="List Paragraph"/>
    <w:basedOn w:val="a"/>
    <w:autoRedefine/>
    <w:uiPriority w:val="34"/>
    <w:qFormat/>
    <w:pPr>
      <w:ind w:firstLineChars="200" w:firstLine="420"/>
    </w:pPr>
  </w:style>
  <w:style w:type="character" w:customStyle="1" w:styleId="Char">
    <w:name w:val="日期 Char"/>
    <w:basedOn w:val="a0"/>
    <w:link w:val="a3"/>
    <w:autoRedefine/>
    <w:uiPriority w:val="99"/>
    <w:semiHidden/>
    <w:qFormat/>
    <w:rPr>
      <w:kern w:val="2"/>
      <w:sz w:val="21"/>
      <w:szCs w:val="22"/>
    </w:rPr>
  </w:style>
  <w:style w:type="character" w:customStyle="1" w:styleId="Style10">
    <w:name w:val="_Style 10"/>
    <w:basedOn w:val="a0"/>
    <w:autoRedefine/>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王佳丽</cp:lastModifiedBy>
  <cp:revision>3</cp:revision>
  <cp:lastPrinted>2025-04-16T07:36:00Z</cp:lastPrinted>
  <dcterms:created xsi:type="dcterms:W3CDTF">2025-04-17T06:27:00Z</dcterms:created>
  <dcterms:modified xsi:type="dcterms:W3CDTF">2025-04-18T01:24:00Z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eyJoZGlkIjoiNDc0N2U0MDI1MjRhMWQ1ZGQ5NDY5YzY5NzdlMDE4ZjMiLCJ1c2VySWQiOiI2MjI3OTEzNTcifQ==</vt:lpwstr>
  </property>
  <property fmtid="{D5CDD505-2E9C-101B-9397-08002B2CF9AE}" pid="3" name="KSOProductBuildVer">
    <vt:lpwstr>2052-12.1.0.20784</vt:lpwstr>
  </property>
  <property fmtid="{D5CDD505-2E9C-101B-9397-08002B2CF9AE}" pid="4" name="ICV">
    <vt:lpwstr>75A35ECADCD543DBB03063C97BEF6E10_13</vt:lpwstr>
  </property>
</Properties>
</file>